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DFCC8" w14:textId="77777777"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DEKLARACIJA</w:t>
      </w:r>
    </w:p>
    <w:p w14:paraId="5D3737AE" w14:textId="77777777"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14:paraId="2A6002CD" w14:textId="77777777"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14:paraId="40583E3A" w14:textId="77777777"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14:paraId="1458030D" w14:textId="77777777"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14:paraId="4D6A530B" w14:textId="77777777" w:rsidTr="00D10A84">
        <w:tc>
          <w:tcPr>
            <w:tcW w:w="9526" w:type="dxa"/>
            <w:gridSpan w:val="3"/>
            <w:shd w:val="clear" w:color="auto" w:fill="F2F2F2"/>
          </w:tcPr>
          <w:p w14:paraId="0F79C43F" w14:textId="77777777"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14:paraId="3CFFF90B" w14:textId="77777777" w:rsidTr="00D10A84">
        <w:tc>
          <w:tcPr>
            <w:tcW w:w="361" w:type="dxa"/>
            <w:vAlign w:val="center"/>
          </w:tcPr>
          <w:p w14:paraId="0300A2A5"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14:paraId="4A6C38A8"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14:paraId="34C65F06" w14:textId="77777777" w:rsidR="007239E0" w:rsidRPr="007239E0" w:rsidRDefault="007239E0" w:rsidP="007239E0">
            <w:pPr>
              <w:rPr>
                <w:rFonts w:ascii="Arial" w:hAnsi="Arial" w:cs="Arial"/>
                <w:sz w:val="18"/>
                <w:szCs w:val="18"/>
                <w:lang w:val="lt-LT"/>
              </w:rPr>
            </w:pPr>
          </w:p>
          <w:p w14:paraId="3938396E" w14:textId="77777777" w:rsidR="007239E0" w:rsidRPr="007239E0" w:rsidRDefault="007239E0" w:rsidP="007239E0">
            <w:pPr>
              <w:rPr>
                <w:rFonts w:ascii="Arial" w:hAnsi="Arial" w:cs="Arial"/>
                <w:sz w:val="18"/>
                <w:szCs w:val="18"/>
                <w:lang w:val="lt-LT"/>
              </w:rPr>
            </w:pPr>
          </w:p>
        </w:tc>
      </w:tr>
      <w:tr w:rsidR="007239E0" w:rsidRPr="007239E0" w14:paraId="3BFE8FF7" w14:textId="77777777" w:rsidTr="00D10A84">
        <w:tc>
          <w:tcPr>
            <w:tcW w:w="361" w:type="dxa"/>
            <w:vAlign w:val="center"/>
          </w:tcPr>
          <w:p w14:paraId="4301EACB"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14:paraId="3B9958BF"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14:paraId="04EE598D" w14:textId="77777777" w:rsidR="007239E0" w:rsidRPr="007239E0" w:rsidRDefault="007239E0" w:rsidP="007239E0">
            <w:pPr>
              <w:rPr>
                <w:rFonts w:ascii="Arial" w:hAnsi="Arial" w:cs="Arial"/>
                <w:sz w:val="18"/>
                <w:szCs w:val="18"/>
                <w:lang w:val="lt-LT"/>
              </w:rPr>
            </w:pPr>
          </w:p>
          <w:p w14:paraId="46EE389C" w14:textId="77777777" w:rsidR="007239E0" w:rsidRPr="007239E0" w:rsidRDefault="007239E0" w:rsidP="007239E0">
            <w:pPr>
              <w:rPr>
                <w:rFonts w:ascii="Arial" w:hAnsi="Arial" w:cs="Arial"/>
                <w:sz w:val="18"/>
                <w:szCs w:val="18"/>
                <w:lang w:val="lt-LT"/>
              </w:rPr>
            </w:pPr>
          </w:p>
        </w:tc>
      </w:tr>
      <w:tr w:rsidR="007239E0" w:rsidRPr="007239E0" w14:paraId="1616E977" w14:textId="77777777" w:rsidTr="00D10A84">
        <w:tc>
          <w:tcPr>
            <w:tcW w:w="361" w:type="dxa"/>
            <w:vAlign w:val="center"/>
          </w:tcPr>
          <w:p w14:paraId="2FE5C1A9"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14:paraId="1C433C73"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14:paraId="5A72C943" w14:textId="77777777" w:rsidR="007239E0" w:rsidRPr="007239E0" w:rsidRDefault="007239E0" w:rsidP="007239E0">
            <w:pPr>
              <w:rPr>
                <w:rFonts w:ascii="Arial" w:hAnsi="Arial" w:cs="Arial"/>
                <w:sz w:val="18"/>
                <w:szCs w:val="18"/>
                <w:lang w:val="lt-LT"/>
              </w:rPr>
            </w:pPr>
          </w:p>
          <w:p w14:paraId="00A0061B" w14:textId="77777777" w:rsidR="007239E0" w:rsidRPr="007239E0" w:rsidRDefault="007239E0" w:rsidP="007239E0">
            <w:pPr>
              <w:rPr>
                <w:rFonts w:ascii="Arial" w:hAnsi="Arial" w:cs="Arial"/>
                <w:sz w:val="18"/>
                <w:szCs w:val="18"/>
                <w:lang w:val="lt-LT"/>
              </w:rPr>
            </w:pPr>
          </w:p>
        </w:tc>
      </w:tr>
      <w:tr w:rsidR="007239E0" w:rsidRPr="007239E0" w14:paraId="4558007C" w14:textId="77777777" w:rsidTr="00D10A84">
        <w:tc>
          <w:tcPr>
            <w:tcW w:w="361" w:type="dxa"/>
            <w:vAlign w:val="center"/>
          </w:tcPr>
          <w:p w14:paraId="080741CB"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14:paraId="1973B345"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14:paraId="06B127D6" w14:textId="77777777" w:rsidR="007239E0" w:rsidRPr="007239E0" w:rsidRDefault="007239E0" w:rsidP="007239E0">
            <w:pPr>
              <w:rPr>
                <w:rFonts w:ascii="Arial" w:hAnsi="Arial" w:cs="Arial"/>
                <w:sz w:val="18"/>
                <w:szCs w:val="18"/>
                <w:lang w:val="lt-LT"/>
              </w:rPr>
            </w:pPr>
          </w:p>
          <w:p w14:paraId="5551FCB1" w14:textId="77777777" w:rsidR="007239E0" w:rsidRPr="007239E0" w:rsidRDefault="007239E0" w:rsidP="007239E0">
            <w:pPr>
              <w:rPr>
                <w:rFonts w:ascii="Arial" w:hAnsi="Arial" w:cs="Arial"/>
                <w:sz w:val="18"/>
                <w:szCs w:val="18"/>
                <w:lang w:val="lt-LT"/>
              </w:rPr>
            </w:pPr>
          </w:p>
        </w:tc>
      </w:tr>
      <w:tr w:rsidR="007239E0" w:rsidRPr="007239E0" w14:paraId="5CD924DF" w14:textId="77777777" w:rsidTr="00D10A84">
        <w:tc>
          <w:tcPr>
            <w:tcW w:w="361" w:type="dxa"/>
            <w:vAlign w:val="center"/>
          </w:tcPr>
          <w:p w14:paraId="5C175FAD"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14:paraId="07BE4665"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14:paraId="299F3C4D" w14:textId="77777777" w:rsidR="007239E0" w:rsidRPr="007239E0" w:rsidRDefault="007239E0" w:rsidP="007239E0">
            <w:pPr>
              <w:rPr>
                <w:rFonts w:ascii="Arial" w:hAnsi="Arial" w:cs="Arial"/>
                <w:sz w:val="18"/>
                <w:szCs w:val="18"/>
                <w:lang w:val="lt-LT"/>
              </w:rPr>
            </w:pPr>
          </w:p>
        </w:tc>
      </w:tr>
      <w:tr w:rsidR="007239E0" w:rsidRPr="007239E0" w14:paraId="6A2633C9" w14:textId="77777777" w:rsidTr="00D10A84">
        <w:tc>
          <w:tcPr>
            <w:tcW w:w="361" w:type="dxa"/>
            <w:vAlign w:val="center"/>
          </w:tcPr>
          <w:p w14:paraId="1168631E"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14:paraId="6CAF4326"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14:paraId="1AAFED10" w14:textId="77777777" w:rsidR="007239E0" w:rsidRPr="007239E0" w:rsidRDefault="007239E0" w:rsidP="007239E0">
            <w:pPr>
              <w:rPr>
                <w:rFonts w:ascii="Arial" w:hAnsi="Arial" w:cs="Arial"/>
                <w:sz w:val="18"/>
                <w:szCs w:val="18"/>
                <w:lang w:val="lt-LT"/>
              </w:rPr>
            </w:pPr>
          </w:p>
        </w:tc>
      </w:tr>
      <w:tr w:rsidR="007239E0" w:rsidRPr="007239E0" w14:paraId="0A8FF67F" w14:textId="77777777" w:rsidTr="00D10A84">
        <w:tc>
          <w:tcPr>
            <w:tcW w:w="361" w:type="dxa"/>
            <w:vAlign w:val="center"/>
          </w:tcPr>
          <w:p w14:paraId="569D8FF8"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14:paraId="75A8F0C9" w14:textId="77777777"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14:paraId="6D2A4B19" w14:textId="77777777" w:rsidR="007239E0" w:rsidRPr="007239E0" w:rsidRDefault="007239E0" w:rsidP="007239E0">
            <w:pPr>
              <w:rPr>
                <w:rFonts w:ascii="Arial" w:hAnsi="Arial" w:cs="Arial"/>
                <w:sz w:val="18"/>
                <w:szCs w:val="18"/>
                <w:lang w:val="lt-LT"/>
              </w:rPr>
            </w:pPr>
          </w:p>
        </w:tc>
      </w:tr>
      <w:tr w:rsidR="007239E0" w:rsidRPr="007239E0" w14:paraId="46C7191F" w14:textId="77777777" w:rsidTr="00D10A84">
        <w:tc>
          <w:tcPr>
            <w:tcW w:w="361" w:type="dxa"/>
            <w:vAlign w:val="center"/>
          </w:tcPr>
          <w:p w14:paraId="4FF015B7"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14:paraId="487DF46F"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14:paraId="23170FD5" w14:textId="77777777" w:rsidR="007239E0" w:rsidRPr="007239E0" w:rsidRDefault="007239E0" w:rsidP="007239E0">
            <w:pPr>
              <w:rPr>
                <w:rFonts w:ascii="Arial" w:hAnsi="Arial" w:cs="Arial"/>
                <w:sz w:val="18"/>
                <w:szCs w:val="18"/>
                <w:lang w:val="lt-LT"/>
              </w:rPr>
            </w:pPr>
          </w:p>
        </w:tc>
      </w:tr>
      <w:tr w:rsidR="007239E0" w:rsidRPr="007239E0" w14:paraId="34DA9A49" w14:textId="77777777" w:rsidTr="00D10A84">
        <w:tc>
          <w:tcPr>
            <w:tcW w:w="361" w:type="dxa"/>
            <w:vAlign w:val="center"/>
          </w:tcPr>
          <w:p w14:paraId="5F1BA3AF"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14:paraId="42636038"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14:paraId="796F108B" w14:textId="77777777" w:rsidR="007239E0" w:rsidRPr="007239E0" w:rsidRDefault="007239E0" w:rsidP="007239E0">
            <w:pPr>
              <w:rPr>
                <w:rFonts w:ascii="Arial" w:hAnsi="Arial" w:cs="Arial"/>
                <w:sz w:val="18"/>
                <w:szCs w:val="18"/>
                <w:lang w:val="lt-LT"/>
              </w:rPr>
            </w:pPr>
          </w:p>
        </w:tc>
      </w:tr>
    </w:tbl>
    <w:p w14:paraId="415DAAAD" w14:textId="77777777" w:rsidR="007239E0" w:rsidRPr="007239E0" w:rsidRDefault="007239E0" w:rsidP="007239E0">
      <w:pPr>
        <w:suppressAutoHyphens/>
        <w:spacing w:after="60" w:line="240" w:lineRule="auto"/>
        <w:rPr>
          <w:rFonts w:ascii="Arial" w:eastAsia="Calibri" w:hAnsi="Arial" w:cs="Arial"/>
          <w:sz w:val="18"/>
          <w:szCs w:val="18"/>
          <w:lang w:eastAsia="zh-CN"/>
        </w:rPr>
      </w:pPr>
    </w:p>
    <w:p w14:paraId="4169859D" w14:textId="77777777"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14:paraId="0837BEEA" w14:textId="77777777" w:rsidR="007239E0" w:rsidRPr="007239E0" w:rsidRDefault="00291D17"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TAIP, nurodyti reguliuojamos rinkos pavadinimą: ……………………………………………………...............</w:t>
      </w:r>
    </w:p>
    <w:p w14:paraId="5DA3D98B" w14:textId="77777777" w:rsidR="007239E0" w:rsidRPr="007239E0" w:rsidRDefault="00291D17"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 xml:space="preserve">NE </w:t>
      </w:r>
    </w:p>
    <w:p w14:paraId="71DD8EB9" w14:textId="77777777"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14:paraId="5BB93841" w14:textId="77777777"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14:paraId="6BB008ED" w14:textId="77777777"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14:paraId="11ABCD8D" w14:textId="77777777" w:rsidTr="00D10A84">
        <w:tc>
          <w:tcPr>
            <w:tcW w:w="567" w:type="dxa"/>
            <w:shd w:val="clear" w:color="auto" w:fill="F2F2F2"/>
          </w:tcPr>
          <w:p w14:paraId="5B535AD7"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14:paraId="27D0D5EE" w14:textId="77777777"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14:paraId="7EA48DD3" w14:textId="77777777" w:rsidTr="00D10A84">
        <w:tc>
          <w:tcPr>
            <w:tcW w:w="567" w:type="dxa"/>
          </w:tcPr>
          <w:p w14:paraId="06F955A5"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14:paraId="26574FFE" w14:textId="77777777" w:rsidR="007239E0" w:rsidRPr="007239E0" w:rsidRDefault="007239E0" w:rsidP="007239E0">
            <w:pPr>
              <w:suppressAutoHyphens/>
              <w:spacing w:after="60"/>
              <w:rPr>
                <w:rFonts w:ascii="Arial" w:hAnsi="Arial" w:cs="Arial"/>
                <w:sz w:val="18"/>
                <w:szCs w:val="18"/>
                <w:lang w:val="lt-LT" w:eastAsia="zh-CN"/>
              </w:rPr>
            </w:pPr>
          </w:p>
        </w:tc>
      </w:tr>
      <w:tr w:rsidR="007239E0" w:rsidRPr="007239E0" w14:paraId="243FCB8C" w14:textId="77777777" w:rsidTr="00D10A84">
        <w:tc>
          <w:tcPr>
            <w:tcW w:w="567" w:type="dxa"/>
          </w:tcPr>
          <w:p w14:paraId="09E1CD98"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14:paraId="3698F019" w14:textId="77777777" w:rsidR="007239E0" w:rsidRPr="007239E0" w:rsidRDefault="007239E0" w:rsidP="007239E0">
            <w:pPr>
              <w:suppressAutoHyphens/>
              <w:spacing w:after="60"/>
              <w:rPr>
                <w:rFonts w:ascii="Arial" w:hAnsi="Arial" w:cs="Arial"/>
                <w:sz w:val="18"/>
                <w:szCs w:val="18"/>
                <w:lang w:val="lt-LT" w:eastAsia="zh-CN"/>
              </w:rPr>
            </w:pPr>
          </w:p>
        </w:tc>
      </w:tr>
      <w:tr w:rsidR="007239E0" w:rsidRPr="007239E0" w14:paraId="7E577F4E" w14:textId="77777777" w:rsidTr="00D10A84">
        <w:tc>
          <w:tcPr>
            <w:tcW w:w="567" w:type="dxa"/>
          </w:tcPr>
          <w:p w14:paraId="3E7072E1"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14:paraId="7AF40457" w14:textId="77777777" w:rsidR="007239E0" w:rsidRPr="007239E0" w:rsidRDefault="007239E0" w:rsidP="007239E0">
            <w:pPr>
              <w:suppressAutoHyphens/>
              <w:spacing w:after="60"/>
              <w:rPr>
                <w:rFonts w:ascii="Arial" w:hAnsi="Arial" w:cs="Arial"/>
                <w:sz w:val="18"/>
                <w:szCs w:val="18"/>
                <w:lang w:val="lt-LT" w:eastAsia="zh-CN"/>
              </w:rPr>
            </w:pPr>
          </w:p>
        </w:tc>
      </w:tr>
      <w:tr w:rsidR="007239E0" w:rsidRPr="007239E0" w14:paraId="3E08F689" w14:textId="77777777" w:rsidTr="00D10A84">
        <w:tc>
          <w:tcPr>
            <w:tcW w:w="567" w:type="dxa"/>
          </w:tcPr>
          <w:p w14:paraId="7DBBBD5B"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14:paraId="265C4D29" w14:textId="77777777" w:rsidR="007239E0" w:rsidRPr="007239E0" w:rsidRDefault="007239E0" w:rsidP="007239E0">
            <w:pPr>
              <w:suppressAutoHyphens/>
              <w:spacing w:after="60"/>
              <w:rPr>
                <w:rFonts w:ascii="Arial" w:hAnsi="Arial" w:cs="Arial"/>
                <w:sz w:val="18"/>
                <w:szCs w:val="18"/>
                <w:lang w:val="lt-LT" w:eastAsia="zh-CN"/>
              </w:rPr>
            </w:pPr>
          </w:p>
        </w:tc>
      </w:tr>
      <w:tr w:rsidR="007239E0" w:rsidRPr="007239E0" w14:paraId="5913EF1A" w14:textId="77777777" w:rsidTr="00D10A84">
        <w:tc>
          <w:tcPr>
            <w:tcW w:w="567" w:type="dxa"/>
          </w:tcPr>
          <w:p w14:paraId="78E6BB09"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14:paraId="46A23D3C" w14:textId="77777777" w:rsidR="007239E0" w:rsidRPr="007239E0" w:rsidRDefault="007239E0" w:rsidP="007239E0">
            <w:pPr>
              <w:suppressAutoHyphens/>
              <w:spacing w:after="60"/>
              <w:rPr>
                <w:rFonts w:ascii="Arial" w:hAnsi="Arial" w:cs="Arial"/>
                <w:sz w:val="18"/>
                <w:szCs w:val="18"/>
                <w:lang w:val="lt-LT" w:eastAsia="zh-CN"/>
              </w:rPr>
            </w:pPr>
          </w:p>
        </w:tc>
      </w:tr>
    </w:tbl>
    <w:p w14:paraId="6CC89D26" w14:textId="77777777"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14:paraId="67419970" w14:textId="77777777"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14:paraId="5AA84769" w14:textId="77777777"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14:paraId="04C86C4D" w14:textId="77777777"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14:paraId="17EF81B1" w14:textId="77777777"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14:paraId="0DB0452D" w14:textId="77777777" w:rsidTr="00D10A84">
        <w:tc>
          <w:tcPr>
            <w:tcW w:w="4531" w:type="dxa"/>
            <w:gridSpan w:val="2"/>
            <w:tcBorders>
              <w:right w:val="single" w:sz="4" w:space="0" w:color="auto"/>
            </w:tcBorders>
            <w:shd w:val="clear" w:color="auto" w:fill="F2F2F2"/>
          </w:tcPr>
          <w:p w14:paraId="5A4F3439" w14:textId="77777777"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14:paraId="2B934F24" w14:textId="77777777"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14:paraId="4D4FE926" w14:textId="77777777"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14:paraId="277C82AF" w14:textId="77777777" w:rsidTr="00D10A84">
        <w:tc>
          <w:tcPr>
            <w:tcW w:w="1413" w:type="dxa"/>
          </w:tcPr>
          <w:p w14:paraId="3E5A982E"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14:paraId="348CE578" w14:textId="77777777"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14:paraId="1C4BEE62" w14:textId="77777777"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14:paraId="2804EB83"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14:paraId="5FCBC61F" w14:textId="77777777"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14:paraId="2C139ED7" w14:textId="77777777" w:rsidTr="00D10A84">
        <w:tc>
          <w:tcPr>
            <w:tcW w:w="1413" w:type="dxa"/>
          </w:tcPr>
          <w:p w14:paraId="6EAE2ADE"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14:paraId="2AAF88CD" w14:textId="77777777" w:rsidR="007239E0" w:rsidRPr="007239E0" w:rsidRDefault="007239E0" w:rsidP="007239E0">
            <w:pPr>
              <w:suppressAutoHyphens/>
              <w:spacing w:after="60"/>
              <w:jc w:val="right"/>
              <w:rPr>
                <w:rFonts w:ascii="Arial" w:hAnsi="Arial" w:cs="Arial"/>
                <w:sz w:val="16"/>
                <w:szCs w:val="16"/>
                <w:lang w:val="lt-LT" w:eastAsia="zh-CN"/>
              </w:rPr>
            </w:pPr>
          </w:p>
          <w:p w14:paraId="2B1FE795" w14:textId="77777777"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14:paraId="02040112" w14:textId="77777777"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14:paraId="6EA9BD05"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14:paraId="00C54C7A" w14:textId="77777777"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14:paraId="7D1FBCC2" w14:textId="77777777" w:rsidTr="00D10A84">
        <w:tc>
          <w:tcPr>
            <w:tcW w:w="1413" w:type="dxa"/>
          </w:tcPr>
          <w:p w14:paraId="07C172A1"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14:paraId="23574546" w14:textId="77777777"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14:paraId="660941CB" w14:textId="77777777"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14:paraId="0C2DE327"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14:paraId="576FF53B" w14:textId="77777777"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14:paraId="459966FF" w14:textId="77777777"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14:paraId="29111CAE" w14:textId="77777777" w:rsidR="007239E0" w:rsidRPr="007239E0" w:rsidRDefault="007239E0" w:rsidP="007239E0">
      <w:pPr>
        <w:suppressAutoHyphens/>
        <w:spacing w:after="0" w:line="276" w:lineRule="auto"/>
        <w:rPr>
          <w:rFonts w:ascii="Arial" w:eastAsia="Calibri" w:hAnsi="Arial" w:cs="Arial"/>
          <w:sz w:val="18"/>
          <w:szCs w:val="18"/>
          <w:u w:val="single"/>
          <w:lang w:eastAsia="zh-CN"/>
        </w:rPr>
      </w:pPr>
    </w:p>
    <w:p w14:paraId="10860319" w14:textId="77777777"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14:paraId="00319F4B" w14:textId="77777777"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14:paraId="0AB89F1F" w14:textId="77777777"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14:paraId="67BD1571" w14:textId="77777777"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14:paraId="5BEC8C92" w14:textId="77777777"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1 priedėlis</w:t>
      </w:r>
      <w:r w:rsidRPr="007239E0">
        <w:rPr>
          <w:rFonts w:ascii="Arial" w:eastAsia="Times New Roman" w:hAnsi="Arial" w:cs="Times New Roman"/>
          <w:sz w:val="16"/>
          <w:szCs w:val="24"/>
          <w:u w:val="single"/>
          <w:lang w:eastAsia="lt-LT"/>
        </w:rPr>
        <w:t xml:space="preserve"> </w:t>
      </w:r>
    </w:p>
    <w:p w14:paraId="1CD9A99D" w14:textId="77777777"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7239E0">
        <w:rPr>
          <w:rFonts w:ascii="Arial" w:eastAsia="Times New Roman" w:hAnsi="Arial" w:cs="Times New Roman"/>
          <w:b/>
          <w:sz w:val="16"/>
          <w:szCs w:val="24"/>
          <w:lang w:eastAsia="lt-LT"/>
        </w:rPr>
        <w:t xml:space="preserve">Informacija </w:t>
      </w:r>
    </w:p>
    <w:bookmarkEnd w:id="13"/>
    <w:bookmarkEnd w:id="14"/>
    <w:bookmarkEnd w:id="15"/>
    <w:p w14:paraId="654CA714" w14:textId="77777777"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14:paraId="48B28933" w14:textId="77777777"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14:paraId="044648B1" w14:textId="77777777"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14:paraId="175F55A4" w14:textId="77777777"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14:paraId="3F6535EA" w14:textId="77777777"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14:paraId="28D23AD6" w14:textId="77777777"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14:paraId="2427DBA4" w14:textId="77777777"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14:paraId="2821E963" w14:textId="77777777"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14:paraId="38034764" w14:textId="77777777"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14:paraId="70D6ABA8" w14:textId="77777777" w:rsidR="007239E0" w:rsidRPr="007239E0" w:rsidRDefault="007239E0" w:rsidP="007239E0">
      <w:pPr>
        <w:spacing w:after="0" w:line="276" w:lineRule="auto"/>
        <w:ind w:left="567"/>
        <w:jc w:val="both"/>
        <w:rPr>
          <w:rFonts w:ascii="Arial" w:eastAsia="Georgia" w:hAnsi="Arial" w:cs="Arial"/>
          <w:sz w:val="16"/>
          <w:szCs w:val="16"/>
        </w:rPr>
      </w:pPr>
    </w:p>
    <w:p w14:paraId="76842E2F" w14:textId="77777777"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14:paraId="47ECBF7A" w14:textId="77777777"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14:paraId="607A95A4" w14:textId="77777777"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14:paraId="59CBAB1D" w14:textId="77777777"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14:paraId="75705F02" w14:textId="77777777" w:rsidR="007239E0" w:rsidRPr="007239E0" w:rsidRDefault="007239E0" w:rsidP="007239E0">
      <w:pPr>
        <w:spacing w:before="240" w:after="240" w:line="276" w:lineRule="auto"/>
        <w:ind w:left="567"/>
        <w:contextualSpacing/>
        <w:jc w:val="both"/>
        <w:rPr>
          <w:rFonts w:ascii="Arial" w:eastAsia="Georgia" w:hAnsi="Arial" w:cs="Arial"/>
          <w:sz w:val="16"/>
          <w:szCs w:val="16"/>
        </w:rPr>
      </w:pPr>
    </w:p>
    <w:p w14:paraId="72F9CA02" w14:textId="77777777"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14:paraId="73C79959" w14:textId="77777777" w:rsidR="007239E0" w:rsidRPr="007239E0" w:rsidRDefault="007239E0" w:rsidP="007239E0">
      <w:pPr>
        <w:spacing w:after="0" w:line="276" w:lineRule="auto"/>
        <w:ind w:left="284"/>
        <w:contextualSpacing/>
        <w:jc w:val="both"/>
        <w:rPr>
          <w:rFonts w:ascii="Arial" w:eastAsia="Georgia" w:hAnsi="Arial" w:cs="Arial"/>
          <w:sz w:val="16"/>
          <w:szCs w:val="16"/>
        </w:rPr>
      </w:pPr>
    </w:p>
    <w:p w14:paraId="4B52D774" w14:textId="77777777"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14:paraId="44205B2D"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2856A59D" w14:textId="77777777"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14:paraId="1F1C50D4" w14:textId="77777777"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14:paraId="1C5591DC"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14:paraId="19C96B48"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14:paraId="5F257223"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14:paraId="3A987F68"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w:t>
      </w:r>
      <w:proofErr w:type="spellStart"/>
      <w:r w:rsidRPr="007239E0">
        <w:rPr>
          <w:rFonts w:ascii="Arial" w:eastAsia="Times New Roman" w:hAnsi="Arial" w:cs="Times New Roman"/>
          <w:sz w:val="16"/>
          <w:szCs w:val="24"/>
          <w:lang w:eastAsia="lt-LT"/>
        </w:rPr>
        <w:t>perkeliamumą</w:t>
      </w:r>
      <w:proofErr w:type="spellEnd"/>
      <w:r w:rsidRPr="007239E0">
        <w:rPr>
          <w:rFonts w:ascii="Arial" w:eastAsia="Times New Roman" w:hAnsi="Arial" w:cs="Times New Roman"/>
          <w:sz w:val="16"/>
          <w:szCs w:val="24"/>
          <w:lang w:eastAsia="lt-LT"/>
        </w:rPr>
        <w:t xml:space="preserve">; </w:t>
      </w:r>
    </w:p>
    <w:p w14:paraId="075C98B1"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14:paraId="065A84F6" w14:textId="77777777"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14:paraId="59AB8FDB" w14:textId="77777777"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14:paraId="25BAB122" w14:textId="77777777" w:rsidR="007239E0" w:rsidRPr="007239E0" w:rsidRDefault="007239E0" w:rsidP="007239E0">
      <w:pPr>
        <w:spacing w:after="0" w:line="276" w:lineRule="auto"/>
        <w:ind w:left="284"/>
        <w:jc w:val="both"/>
        <w:rPr>
          <w:rFonts w:ascii="Arial" w:eastAsia="Georgia" w:hAnsi="Arial" w:cs="Arial"/>
          <w:sz w:val="16"/>
          <w:szCs w:val="16"/>
        </w:rPr>
      </w:pPr>
    </w:p>
    <w:p w14:paraId="062A2066" w14:textId="77777777"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14:paraId="1929A1A1"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6D2A5648"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0C3CFC39"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1AA4D81F"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4103E6B1" w14:textId="77777777"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7.2 priedėlis</w:t>
      </w:r>
      <w:r w:rsidRPr="007239E0">
        <w:rPr>
          <w:rFonts w:ascii="Arial" w:eastAsia="Times New Roman" w:hAnsi="Arial" w:cs="Times New Roman"/>
          <w:sz w:val="16"/>
          <w:szCs w:val="24"/>
          <w:u w:val="single"/>
          <w:lang w:eastAsia="lt-LT"/>
        </w:rPr>
        <w:t xml:space="preserve"> </w:t>
      </w:r>
    </w:p>
    <w:p w14:paraId="4DB5EE70" w14:textId="77777777"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t xml:space="preserve">Paaiškinimai dėl deklaracijos apie galutinį naudos gavėją </w:t>
      </w:r>
    </w:p>
    <w:p w14:paraId="57892C3B" w14:textId="77777777"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14:paraId="4472C2B4" w14:textId="77777777"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14:paraId="01A4431E" w14:textId="77777777"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2015 m. gegužės 20 d. EUROPOS PARLAMENTO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14:paraId="15AF9391" w14:textId="77777777"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2018 m. gegužės 30 d. EUROPOS PARLAMENTO IR TARYBOS DIREKTYVA (ES) 2018/843, kuria iš dalies keičiama Direktyva (ES) 2015/849 dėl finansų sistemos naudojimo pinigų plovimui ar teroristų finansavimui prevencijos ir iš dalies keičiamos direktyvos 2009/138/EB ir 2013/36/ES,</w:t>
      </w:r>
    </w:p>
    <w:p w14:paraId="0BBCE7F7" w14:textId="77777777"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14:paraId="691B95E1" w14:textId="77777777"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14:paraId="6251C233" w14:textId="77777777"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14:paraId="7593FE6F" w14:textId="77777777"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14:paraId="4994D558"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14:paraId="6DC975E5"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14:paraId="64BCC5BB"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14:paraId="38FA745F"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14:paraId="7B4F2764"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14:paraId="26A72117" w14:textId="77777777"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14:paraId="74AD2946" w14:textId="77777777"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14:paraId="32154BEE"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14:paraId="760EB9B5"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14:paraId="2DF74333"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14:paraId="01D9CB7B"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14:paraId="1B5FD9E5"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14:paraId="4736E01D"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14:paraId="1F4092AD" w14:textId="77777777"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14:paraId="0B47BE08" w14:textId="77777777"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682FA" w14:textId="77777777" w:rsidR="008A607E" w:rsidRDefault="008A607E" w:rsidP="007239E0">
      <w:pPr>
        <w:spacing w:after="0" w:line="240" w:lineRule="auto"/>
      </w:pPr>
      <w:r>
        <w:separator/>
      </w:r>
    </w:p>
  </w:endnote>
  <w:endnote w:type="continuationSeparator" w:id="0">
    <w:p w14:paraId="491DFF74" w14:textId="77777777" w:rsidR="008A607E" w:rsidRDefault="008A607E"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C584A" w14:textId="77777777" w:rsidR="008A607E" w:rsidRDefault="008A607E" w:rsidP="007239E0">
      <w:pPr>
        <w:spacing w:after="0" w:line="240" w:lineRule="auto"/>
      </w:pPr>
      <w:r>
        <w:separator/>
      </w:r>
    </w:p>
  </w:footnote>
  <w:footnote w:type="continuationSeparator" w:id="0">
    <w:p w14:paraId="367B0382" w14:textId="77777777" w:rsidR="008A607E" w:rsidRDefault="008A607E" w:rsidP="0072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3203D" w14:textId="6CFE097D" w:rsidR="006866AE" w:rsidRDefault="006866AE">
    <w:pPr>
      <w:pStyle w:val="Header"/>
    </w:pPr>
    <w:r>
      <w:t>Priedas Nr.</w:t>
    </w:r>
    <w:r w:rsidR="00291D17">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403840377">
    <w:abstractNumId w:val="8"/>
  </w:num>
  <w:num w:numId="2" w16cid:durableId="958531813">
    <w:abstractNumId w:val="5"/>
  </w:num>
  <w:num w:numId="3" w16cid:durableId="588319258">
    <w:abstractNumId w:val="7"/>
  </w:num>
  <w:num w:numId="4" w16cid:durableId="700864264">
    <w:abstractNumId w:val="3"/>
  </w:num>
  <w:num w:numId="5" w16cid:durableId="193925010">
    <w:abstractNumId w:val="0"/>
  </w:num>
  <w:num w:numId="6" w16cid:durableId="362024422">
    <w:abstractNumId w:val="2"/>
  </w:num>
  <w:num w:numId="7" w16cid:durableId="1241597128">
    <w:abstractNumId w:val="6"/>
  </w:num>
  <w:num w:numId="8" w16cid:durableId="787359750">
    <w:abstractNumId w:val="1"/>
  </w:num>
  <w:num w:numId="9" w16cid:durableId="1176573355">
    <w:abstractNumId w:val="9"/>
  </w:num>
  <w:num w:numId="10" w16cid:durableId="1919604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E0"/>
    <w:rsid w:val="001F2F54"/>
    <w:rsid w:val="00291D17"/>
    <w:rsid w:val="004A5C5B"/>
    <w:rsid w:val="006866AE"/>
    <w:rsid w:val="007239E0"/>
    <w:rsid w:val="008A607E"/>
    <w:rsid w:val="00CF409C"/>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6B79C"/>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6446</Words>
  <Characters>3675</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Vilmantienė Irma (OLT)</cp:lastModifiedBy>
  <cp:revision>4</cp:revision>
  <dcterms:created xsi:type="dcterms:W3CDTF">2023-08-29T11:10:00Z</dcterms:created>
  <dcterms:modified xsi:type="dcterms:W3CDTF">2025-11-23T15:51:00Z</dcterms:modified>
</cp:coreProperties>
</file>